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C4BB" w14:textId="67FAF2C7" w:rsidR="00450C07" w:rsidRDefault="0052126A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8D8024" wp14:editId="273B31D0">
            <wp:simplePos x="0" y="0"/>
            <wp:positionH relativeFrom="column">
              <wp:posOffset>3248660</wp:posOffset>
            </wp:positionH>
            <wp:positionV relativeFrom="paragraph">
              <wp:posOffset>-345440</wp:posOffset>
            </wp:positionV>
            <wp:extent cx="3103245" cy="572770"/>
            <wp:effectExtent l="0" t="0" r="1905" b="0"/>
            <wp:wrapNone/>
            <wp:docPr id="13857600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513C">
        <w:rPr>
          <w:noProof/>
        </w:rPr>
        <w:drawing>
          <wp:anchor distT="0" distB="0" distL="114300" distR="114300" simplePos="0" relativeHeight="251659264" behindDoc="0" locked="0" layoutInCell="1" allowOverlap="1" wp14:anchorId="2B2621FD" wp14:editId="7E2AB405">
            <wp:simplePos x="0" y="0"/>
            <wp:positionH relativeFrom="margin">
              <wp:posOffset>-287655</wp:posOffset>
            </wp:positionH>
            <wp:positionV relativeFrom="topMargin">
              <wp:posOffset>450850</wp:posOffset>
            </wp:positionV>
            <wp:extent cx="3164205" cy="444500"/>
            <wp:effectExtent l="0" t="0" r="0" b="0"/>
            <wp:wrapSquare wrapText="bothSides"/>
            <wp:docPr id="31728082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80823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FC4BC" w14:textId="77777777" w:rsidR="00450C07" w:rsidRDefault="00450C07">
      <w:pPr>
        <w:pStyle w:val="Standard"/>
      </w:pPr>
    </w:p>
    <w:p w14:paraId="393FC4BD" w14:textId="77777777" w:rsidR="00450C07" w:rsidRDefault="00450C07">
      <w:pPr>
        <w:pStyle w:val="Standard"/>
        <w:jc w:val="center"/>
        <w:rPr>
          <w:b/>
          <w:bCs/>
          <w:sz w:val="30"/>
          <w:szCs w:val="30"/>
          <w:u w:val="single"/>
        </w:rPr>
      </w:pPr>
    </w:p>
    <w:p w14:paraId="393FC4BE" w14:textId="77777777" w:rsidR="00450C07" w:rsidRDefault="00D96BE4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  <w:r>
        <w:rPr>
          <w:rFonts w:ascii="Source Sans Pro" w:hAnsi="Source Sans Pro"/>
          <w:b/>
          <w:bCs/>
          <w:sz w:val="30"/>
          <w:szCs w:val="30"/>
          <w:u w:val="single"/>
        </w:rPr>
        <w:t>Formato para revisión de propuesta de proyecto</w:t>
      </w:r>
    </w:p>
    <w:p w14:paraId="62B4FB8C" w14:textId="77777777" w:rsidR="00D96BE4" w:rsidRDefault="00D96BE4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</w:p>
    <w:p w14:paraId="393FC4BF" w14:textId="77777777" w:rsidR="00450C07" w:rsidRDefault="00450C07">
      <w:pPr>
        <w:pStyle w:val="Standard"/>
        <w:jc w:val="center"/>
        <w:rPr>
          <w:rFonts w:ascii="Source Sans Pro" w:hAnsi="Source Sans Pro"/>
          <w:sz w:val="20"/>
          <w:szCs w:val="20"/>
        </w:rPr>
      </w:pPr>
    </w:p>
    <w:p w14:paraId="393FC4C1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6013"/>
      </w:tblGrid>
      <w:tr w:rsidR="004A1F15" w:rsidRPr="004A1F15" w14:paraId="134183FC" w14:textId="77777777" w:rsidTr="00803B8C">
        <w:tc>
          <w:tcPr>
            <w:tcW w:w="3006" w:type="dxa"/>
          </w:tcPr>
          <w:p w14:paraId="207C9EEE" w14:textId="77777777" w:rsidR="004A1F15" w:rsidRPr="004A1F15" w:rsidRDefault="004A1F15" w:rsidP="004A1F15">
            <w:pPr>
              <w:suppressAutoHyphens w:val="0"/>
              <w:spacing w:before="100" w:after="120" w:line="276" w:lineRule="auto"/>
              <w:jc w:val="both"/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</w:pPr>
            <w:r w:rsidRPr="004A1F15"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  <w:t>Company Legal Name</w:t>
            </w:r>
          </w:p>
        </w:tc>
        <w:tc>
          <w:tcPr>
            <w:tcW w:w="6013" w:type="dxa"/>
          </w:tcPr>
          <w:p w14:paraId="67E9E6A0" w14:textId="77777777" w:rsidR="004A1F15" w:rsidRPr="004A1F15" w:rsidRDefault="004A1F15" w:rsidP="004A1F15">
            <w:pPr>
              <w:suppressAutoHyphens w:val="0"/>
              <w:spacing w:before="100" w:after="120" w:line="276" w:lineRule="auto"/>
              <w:jc w:val="both"/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</w:pPr>
          </w:p>
        </w:tc>
      </w:tr>
      <w:tr w:rsidR="004A1F15" w:rsidRPr="004A1F15" w14:paraId="76E8597A" w14:textId="77777777" w:rsidTr="00803B8C">
        <w:tc>
          <w:tcPr>
            <w:tcW w:w="3006" w:type="dxa"/>
          </w:tcPr>
          <w:p w14:paraId="537117B0" w14:textId="77777777" w:rsidR="004A1F15" w:rsidRPr="004A1F15" w:rsidRDefault="004A1F15" w:rsidP="004A1F15">
            <w:pPr>
              <w:suppressAutoHyphens w:val="0"/>
              <w:spacing w:before="100" w:after="120" w:line="276" w:lineRule="auto"/>
              <w:jc w:val="both"/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</w:pPr>
            <w:r w:rsidRPr="004A1F15"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  <w:t>Email</w:t>
            </w:r>
          </w:p>
        </w:tc>
        <w:tc>
          <w:tcPr>
            <w:tcW w:w="6013" w:type="dxa"/>
          </w:tcPr>
          <w:p w14:paraId="34A69D2B" w14:textId="77777777" w:rsidR="004A1F15" w:rsidRPr="004A1F15" w:rsidRDefault="004A1F15" w:rsidP="004A1F15">
            <w:pPr>
              <w:suppressAutoHyphens w:val="0"/>
              <w:spacing w:before="100" w:after="120" w:line="276" w:lineRule="auto"/>
              <w:jc w:val="both"/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</w:pPr>
          </w:p>
        </w:tc>
      </w:tr>
      <w:tr w:rsidR="004A1F15" w:rsidRPr="004A1F15" w14:paraId="2CF0EF5D" w14:textId="77777777" w:rsidTr="00803B8C">
        <w:tc>
          <w:tcPr>
            <w:tcW w:w="3006" w:type="dxa"/>
          </w:tcPr>
          <w:p w14:paraId="4ABD9BE0" w14:textId="77777777" w:rsidR="004A1F15" w:rsidRPr="004A1F15" w:rsidRDefault="004A1F15" w:rsidP="004A1F15">
            <w:pPr>
              <w:suppressAutoHyphens w:val="0"/>
              <w:spacing w:before="100" w:after="120" w:line="276" w:lineRule="auto"/>
              <w:jc w:val="both"/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</w:pPr>
            <w:r w:rsidRPr="004A1F15"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  <w:t>Sector</w:t>
            </w:r>
          </w:p>
        </w:tc>
        <w:tc>
          <w:tcPr>
            <w:tcW w:w="6013" w:type="dxa"/>
          </w:tcPr>
          <w:p w14:paraId="6711B245" w14:textId="77777777" w:rsidR="004A1F15" w:rsidRPr="004A1F15" w:rsidRDefault="004A1F15" w:rsidP="004A1F15">
            <w:pPr>
              <w:suppressAutoHyphens w:val="0"/>
              <w:spacing w:before="100" w:after="120" w:line="276" w:lineRule="auto"/>
              <w:jc w:val="both"/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</w:pPr>
          </w:p>
        </w:tc>
      </w:tr>
      <w:tr w:rsidR="004A1F15" w:rsidRPr="004A1F15" w14:paraId="3380497D" w14:textId="77777777" w:rsidTr="00803B8C">
        <w:tc>
          <w:tcPr>
            <w:tcW w:w="3006" w:type="dxa"/>
            <w:tcBorders>
              <w:bottom w:val="single" w:sz="4" w:space="0" w:color="auto"/>
            </w:tcBorders>
          </w:tcPr>
          <w:p w14:paraId="321B84A6" w14:textId="77777777" w:rsidR="004A1F15" w:rsidRPr="004A1F15" w:rsidRDefault="004A1F15" w:rsidP="004A1F15">
            <w:pPr>
              <w:suppressAutoHyphens w:val="0"/>
              <w:spacing w:before="100" w:after="120" w:line="276" w:lineRule="auto"/>
              <w:jc w:val="both"/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</w:pPr>
            <w:proofErr w:type="spellStart"/>
            <w:r w:rsidRPr="004A1F15"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  <w:t>Aprox</w:t>
            </w:r>
            <w:proofErr w:type="spellEnd"/>
            <w:r w:rsidRPr="004A1F15"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  <w:t xml:space="preserve"> EIC request</w:t>
            </w:r>
          </w:p>
        </w:tc>
        <w:tc>
          <w:tcPr>
            <w:tcW w:w="6013" w:type="dxa"/>
            <w:tcBorders>
              <w:bottom w:val="single" w:sz="4" w:space="0" w:color="auto"/>
            </w:tcBorders>
          </w:tcPr>
          <w:p w14:paraId="64BCA12E" w14:textId="77777777" w:rsidR="004A1F15" w:rsidRPr="004A1F15" w:rsidRDefault="004A1F15" w:rsidP="004A1F15">
            <w:pPr>
              <w:suppressAutoHyphens w:val="0"/>
              <w:spacing w:before="100" w:after="120" w:line="276" w:lineRule="auto"/>
              <w:jc w:val="both"/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</w:pPr>
            <w:r w:rsidRPr="004A1F15"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  <w:t>(grant + equity in M€)</w:t>
            </w:r>
          </w:p>
        </w:tc>
      </w:tr>
      <w:tr w:rsidR="004A1F15" w:rsidRPr="004A1F15" w14:paraId="0DA5D430" w14:textId="77777777" w:rsidTr="00803B8C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9D7" w14:textId="77777777" w:rsidR="004A1F15" w:rsidRPr="004A1F15" w:rsidRDefault="004A1F15" w:rsidP="004A1F15">
            <w:pPr>
              <w:suppressAutoHyphens w:val="0"/>
              <w:spacing w:before="100" w:after="120" w:line="276" w:lineRule="auto"/>
              <w:jc w:val="both"/>
              <w:rPr>
                <w:rFonts w:ascii="Verdana" w:eastAsia="Verdana" w:hAnsi="Verdana" w:cs="Verdana"/>
                <w:b/>
                <w:bCs/>
                <w:color w:val="3C4043"/>
                <w:sz w:val="18"/>
                <w:szCs w:val="18"/>
                <w:highlight w:val="white"/>
              </w:rPr>
            </w:pPr>
            <w:r w:rsidRPr="004A1F15">
              <w:rPr>
                <w:rFonts w:ascii="Verdana" w:eastAsia="Verdana" w:hAnsi="Verdana" w:cs="Verdana"/>
                <w:b/>
                <w:bCs/>
                <w:color w:val="3C4043"/>
                <w:sz w:val="18"/>
                <w:szCs w:val="18"/>
                <w:highlight w:val="white"/>
              </w:rPr>
              <w:t>Project executive summary:</w:t>
            </w:r>
          </w:p>
          <w:p w14:paraId="3FD6573F" w14:textId="77777777" w:rsidR="004A1F15" w:rsidRPr="004A1F15" w:rsidRDefault="004A1F15" w:rsidP="004A1F15">
            <w:pPr>
              <w:suppressAutoHyphens w:val="0"/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  <w:highlight w:val="white"/>
              </w:rPr>
            </w:pP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>Please, provide an overview of your project covering the following aspects:</w:t>
            </w:r>
          </w:p>
          <w:p w14:paraId="1CDDD312" w14:textId="77777777" w:rsidR="004A1F15" w:rsidRPr="004A1F15" w:rsidRDefault="004A1F15" w:rsidP="004A1F15">
            <w:pPr>
              <w:numPr>
                <w:ilvl w:val="0"/>
                <w:numId w:val="1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</w:pP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</w:rPr>
              <w:t>The problem or market opportunity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. 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>Which is the market opportunity and how big is it? Who would pay to solve it?</w:t>
            </w:r>
          </w:p>
          <w:p w14:paraId="04F72273" w14:textId="77777777" w:rsidR="004A1F15" w:rsidRPr="004A1F15" w:rsidRDefault="004A1F15" w:rsidP="004A1F15">
            <w:pPr>
              <w:numPr>
                <w:ilvl w:val="0"/>
                <w:numId w:val="1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</w:pP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What is your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</w:rPr>
              <w:t>Solution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? Your product/service and its status in TRL level. Why is it deep tech? 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>What is your IP portfolio (with references)?</w:t>
            </w:r>
          </w:p>
          <w:p w14:paraId="17F13F24" w14:textId="77777777" w:rsidR="004A1F15" w:rsidRPr="004A1F15" w:rsidRDefault="004A1F15" w:rsidP="004A1F15">
            <w:pPr>
              <w:numPr>
                <w:ilvl w:val="0"/>
                <w:numId w:val="1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</w:pP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What others are doing? 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 xml:space="preserve">Which is your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  <w:lang w:val="en-US"/>
              </w:rPr>
              <w:t>competition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>? Why should the client choose you instead of them?</w:t>
            </w:r>
          </w:p>
          <w:p w14:paraId="1D1005BF" w14:textId="77777777" w:rsidR="004A1F15" w:rsidRPr="004A1F15" w:rsidRDefault="004A1F15" w:rsidP="004A1F15">
            <w:pPr>
              <w:numPr>
                <w:ilvl w:val="0"/>
                <w:numId w:val="1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</w:pP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 xml:space="preserve">How big is your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  <w:lang w:val="en-US"/>
              </w:rPr>
              <w:t>market target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 xml:space="preserve">? What is your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  <w:lang w:val="en-US"/>
              </w:rPr>
              <w:t>CAGR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 xml:space="preserve">? Which are your key market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  <w:lang w:val="en-US"/>
              </w:rPr>
              <w:t>segments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 xml:space="preserve">? What is your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  <w:lang w:val="en-US"/>
              </w:rPr>
              <w:t>commercialization plan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 xml:space="preserve">? What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  <w:lang w:val="en-US"/>
              </w:rPr>
              <w:t>market share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 xml:space="preserve"> do you want to reach?</w:t>
            </w:r>
          </w:p>
          <w:p w14:paraId="0AB936AC" w14:textId="77777777" w:rsidR="004A1F15" w:rsidRPr="004A1F15" w:rsidRDefault="004A1F15" w:rsidP="004A1F15">
            <w:pPr>
              <w:numPr>
                <w:ilvl w:val="0"/>
                <w:numId w:val="1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  <w:highlight w:val="white"/>
              </w:rPr>
            </w:pP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</w:rPr>
              <w:t>Business model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, its validation status within the international market (clients, </w:t>
            </w:r>
            <w:proofErr w:type="spellStart"/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>LoI</w:t>
            </w:r>
            <w:proofErr w:type="spellEnd"/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>) and your expected route to market (key milestones, when and where).</w:t>
            </w:r>
          </w:p>
          <w:p w14:paraId="7E73267E" w14:textId="77777777" w:rsidR="004A1F15" w:rsidRPr="004A1F15" w:rsidRDefault="004A1F15" w:rsidP="004A1F15">
            <w:pPr>
              <w:numPr>
                <w:ilvl w:val="0"/>
                <w:numId w:val="1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  <w:highlight w:val="white"/>
              </w:rPr>
            </w:pP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The main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</w:rPr>
              <w:t>risks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 that may hamper your business that could justify the EIC support.</w:t>
            </w:r>
          </w:p>
          <w:p w14:paraId="2298B0F4" w14:textId="77777777" w:rsidR="004A1F15" w:rsidRPr="004A1F15" w:rsidRDefault="004A1F15" w:rsidP="004A1F15">
            <w:pPr>
              <w:numPr>
                <w:ilvl w:val="0"/>
                <w:numId w:val="1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  <w:highlight w:val="white"/>
              </w:rPr>
            </w:pP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The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</w:rPr>
              <w:t>main activities to be developed in the EIC accelerator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 project and their approximate costs (both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</w:rPr>
              <w:t>grant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 and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</w:rPr>
              <w:t>equity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>).</w:t>
            </w:r>
          </w:p>
          <w:p w14:paraId="56C939CF" w14:textId="77777777" w:rsidR="004A1F15" w:rsidRPr="004A1F15" w:rsidRDefault="004A1F15" w:rsidP="004A1F15">
            <w:pPr>
              <w:numPr>
                <w:ilvl w:val="0"/>
                <w:numId w:val="1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  <w:highlight w:val="white"/>
              </w:rPr>
            </w:pP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The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</w:rPr>
              <w:t>main outputs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 xml:space="preserve"> you expect from the EIC accelerator in terms of value creation for your company. (i.e. conduct a phase 2 clinical trial, run a pilot for 12 months in real conditions, finalise the CE mark, ensure 3 early clients for early testing our device, develop our landing strategy in the target market…) </w:t>
            </w:r>
          </w:p>
          <w:p w14:paraId="00BBAABF" w14:textId="77777777" w:rsidR="004A1F15" w:rsidRPr="004A1F15" w:rsidRDefault="004A1F15" w:rsidP="004A1F15">
            <w:pPr>
              <w:numPr>
                <w:ilvl w:val="0"/>
                <w:numId w:val="1"/>
              </w:numPr>
              <w:suppressAutoHyphens w:val="0"/>
              <w:spacing w:before="100"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</w:pP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</w:rPr>
              <w:t>Financial projections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</w:rPr>
              <w:t>. Sales in 3 years from commercialisation.</w:t>
            </w:r>
          </w:p>
          <w:p w14:paraId="3A920E1F" w14:textId="77777777" w:rsidR="004A1F15" w:rsidRPr="004A1F15" w:rsidRDefault="004A1F15" w:rsidP="004A1F15">
            <w:pPr>
              <w:numPr>
                <w:ilvl w:val="0"/>
                <w:numId w:val="1"/>
              </w:numPr>
              <w:suppressAutoHyphens w:val="0"/>
              <w:spacing w:before="100" w:after="120" w:line="276" w:lineRule="auto"/>
              <w:contextualSpacing/>
              <w:jc w:val="both"/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</w:pP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 xml:space="preserve">When will you need the </w:t>
            </w:r>
            <w:r w:rsidRPr="004A1F15">
              <w:rPr>
                <w:rFonts w:ascii="Verdana" w:hAnsi="Verdana"/>
                <w:b/>
                <w:bCs/>
                <w:sz w:val="18"/>
                <w:szCs w:val="18"/>
                <w:highlight w:val="white"/>
                <w:lang w:val="en-US"/>
              </w:rPr>
              <w:t>funding round?</w:t>
            </w:r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 xml:space="preserve"> Which are the expected conditions for such round (time, size, valuation…)? Have you already started to look for investors for such </w:t>
            </w:r>
            <w:proofErr w:type="gramStart"/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>round</w:t>
            </w:r>
            <w:proofErr w:type="gramEnd"/>
            <w:r w:rsidRPr="004A1F15">
              <w:rPr>
                <w:rFonts w:ascii="Verdana" w:hAnsi="Verdana"/>
                <w:sz w:val="18"/>
                <w:szCs w:val="18"/>
                <w:highlight w:val="white"/>
                <w:lang w:val="en-US"/>
              </w:rPr>
              <w:t>? Why those investors are not ready to finance your problem today?</w:t>
            </w:r>
          </w:p>
          <w:p w14:paraId="025EE5E3" w14:textId="77777777" w:rsidR="004A1F15" w:rsidRPr="004A1F15" w:rsidRDefault="004A1F15" w:rsidP="004A1F15">
            <w:pPr>
              <w:suppressAutoHyphens w:val="0"/>
              <w:spacing w:before="100" w:after="120" w:line="276" w:lineRule="auto"/>
              <w:jc w:val="both"/>
              <w:rPr>
                <w:rFonts w:ascii="Verdana" w:eastAsia="Verdana" w:hAnsi="Verdana" w:cs="Verdana"/>
                <w:color w:val="3C4043"/>
                <w:sz w:val="18"/>
                <w:szCs w:val="18"/>
                <w:highlight w:val="white"/>
              </w:rPr>
            </w:pPr>
          </w:p>
        </w:tc>
      </w:tr>
    </w:tbl>
    <w:p w14:paraId="393FC4CE" w14:textId="77777777" w:rsidR="00450C07" w:rsidRPr="004A1F15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p w14:paraId="393FC502" w14:textId="77777777" w:rsidR="00450C07" w:rsidRDefault="00D96BE4">
      <w:pPr>
        <w:pStyle w:val="Standard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INFORMACIÓN DE PROTECCIÓN DE DATOS</w:t>
      </w:r>
    </w:p>
    <w:p w14:paraId="393FC503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B0E40" w:rsidRPr="002B0E40" w14:paraId="6A9D8E32" w14:textId="77777777" w:rsidTr="00BA37DD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A2800" w14:textId="77777777" w:rsidR="002B0E40" w:rsidRPr="002B0E40" w:rsidRDefault="002B0E40" w:rsidP="002B0E40">
            <w:pPr>
              <w:widowControl/>
              <w:suppressAutoHyphens w:val="0"/>
              <w:jc w:val="center"/>
              <w:textAlignment w:val="center"/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</w:pPr>
            <w:r w:rsidRPr="002B0E40"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  <w:t xml:space="preserve">CONTACTOS </w:t>
            </w:r>
            <w:proofErr w:type="spellStart"/>
            <w:r w:rsidRPr="002B0E40"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  <w:t>I+D+i</w:t>
            </w:r>
            <w:proofErr w:type="spellEnd"/>
          </w:p>
        </w:tc>
      </w:tr>
      <w:tr w:rsidR="002B0E40" w:rsidRPr="002B0E40" w14:paraId="26A4FEBB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64FA4B" w14:textId="77777777" w:rsidR="002B0E40" w:rsidRPr="002B0E40" w:rsidRDefault="002B0E40" w:rsidP="002B0E40">
            <w:pPr>
              <w:widowControl/>
              <w:suppressAutoHyphens w:val="0"/>
              <w:textAlignment w:val="center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a) Base jurídica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E2D8D3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RGPD 6.1.e) Tratamiento necesario para el cumplimiento de una misión realizada en interés público o en el ejercicio de poderes públicos conferidos al responsable del tratamiento.</w:t>
            </w:r>
          </w:p>
        </w:tc>
      </w:tr>
      <w:tr w:rsidR="002B0E40" w:rsidRPr="002B0E40" w14:paraId="740C4E79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CD0AF3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b) Fines del tratamiento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29DCE7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Mantener una lista de personas con potencial interés en la transferencia de tecnología y la participación en proyectos europeos de I+D+i.</w:t>
            </w:r>
          </w:p>
        </w:tc>
      </w:tr>
      <w:tr w:rsidR="002B0E40" w:rsidRPr="002B0E40" w14:paraId="709D848B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2B7FE1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lastRenderedPageBreak/>
              <w:t>c) Colectivo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D5A16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Personas físicas, incluidas las que representan a personas jurídicas, públicas y privadas, con las que la Agencia mantiene relación en función de las actividades que tienen encomendadas.</w:t>
            </w:r>
          </w:p>
        </w:tc>
      </w:tr>
      <w:tr w:rsidR="002B0E40" w:rsidRPr="002B0E40" w14:paraId="5CAC9CB7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F2B537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d) Categorías de Datos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1EEE67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Nombre, entidad, teléfono y correo electrónico.</w:t>
            </w:r>
          </w:p>
        </w:tc>
      </w:tr>
      <w:tr w:rsidR="002B0E40" w:rsidRPr="002B0E40" w14:paraId="65F21A69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04F444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e) Categoría destinatarios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BC21A" w14:textId="1EF94C59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Los datos personales se cederán al Centro para el Desarrollo Tecnológico y la Innovación E.P.E. - CDTI (</w:t>
            </w:r>
            <w:proofErr w:type="gramStart"/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NIF  Q</w:t>
            </w:r>
            <w:proofErr w:type="gramEnd"/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2820010C), dependiente del Ministerio de Ciencia</w:t>
            </w:r>
            <w:r w:rsidR="004A1F15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 xml:space="preserve">, </w:t>
            </w: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Innovación</w:t>
            </w:r>
            <w:r w:rsidR="004A1F15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 xml:space="preserve"> y Universidades</w:t>
            </w: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, con el fin de mantener reuniones para revisar borradores de propuestas junto al Punto Nacional de Contacto</w:t>
            </w:r>
          </w:p>
        </w:tc>
      </w:tr>
      <w:tr w:rsidR="002B0E40" w:rsidRPr="002B0E40" w14:paraId="65034E7C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EC2C7A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f) Transferencia internacional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73013C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No están previstas transferencias internacionales de los datos.</w:t>
            </w:r>
          </w:p>
        </w:tc>
      </w:tr>
      <w:tr w:rsidR="002B0E40" w:rsidRPr="002B0E40" w14:paraId="488DB0BD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E6D645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g) Plazo supresión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B6EC23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Se conservarán mientras los interesados mantengan su posición profesional o en tanto no soliciten su supresión.</w:t>
            </w:r>
          </w:p>
        </w:tc>
      </w:tr>
      <w:tr w:rsidR="002B0E40" w:rsidRPr="002B0E40" w14:paraId="3F8D9187" w14:textId="77777777" w:rsidTr="00BA37DD">
        <w:trPr>
          <w:trHeight w:val="1905"/>
        </w:trPr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C21B1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h) Medidas de seguridad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958EA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Agencia.</w:t>
            </w:r>
          </w:p>
        </w:tc>
      </w:tr>
      <w:tr w:rsidR="002B0E40" w:rsidRPr="002B0E40" w14:paraId="6A25C67F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14B63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i) Entidad responsable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E60F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Agencia Empresarial para la Transformación y el Desarrollo Económico</w:t>
            </w:r>
          </w:p>
          <w:p w14:paraId="34FA1A6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79D2B57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CIF Q4101007E</w:t>
            </w:r>
          </w:p>
          <w:p w14:paraId="2388288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Calle Leonardo da Vinci, 17, 41092, Sevilla</w:t>
            </w:r>
          </w:p>
          <w:p w14:paraId="39870FB8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Teléfono: 954280227</w:t>
            </w:r>
          </w:p>
          <w:p w14:paraId="0D72CF6D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hyperlink r:id="rId9" w:history="1">
              <w:r w:rsidRPr="002B0E40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info@andaluciatrade.es</w:t>
              </w:r>
            </w:hyperlink>
          </w:p>
          <w:p w14:paraId="088C4A5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090B9E02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Delegado de Protección de Datos:</w:t>
            </w:r>
          </w:p>
          <w:p w14:paraId="1DB95605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hyperlink r:id="rId10" w:history="1">
              <w:r w:rsidRPr="002B0E40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privacidad@andaluciatrade.es</w:t>
              </w:r>
            </w:hyperlink>
          </w:p>
        </w:tc>
      </w:tr>
    </w:tbl>
    <w:p w14:paraId="393FC528" w14:textId="77777777" w:rsidR="00450C07" w:rsidRDefault="00450C07">
      <w:pPr>
        <w:pStyle w:val="Standard"/>
        <w:rPr>
          <w:rFonts w:ascii="Source Sans Pro" w:hAnsi="Source Sans Pro"/>
        </w:rPr>
      </w:pPr>
    </w:p>
    <w:sectPr w:rsidR="00450C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9707" w14:textId="77777777" w:rsidR="003D64AD" w:rsidRDefault="003D64AD">
      <w:r>
        <w:separator/>
      </w:r>
    </w:p>
  </w:endnote>
  <w:endnote w:type="continuationSeparator" w:id="0">
    <w:p w14:paraId="5654EF33" w14:textId="77777777" w:rsidR="003D64AD" w:rsidRDefault="003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6F8FB" w14:textId="77777777" w:rsidR="003D64AD" w:rsidRDefault="003D64AD">
      <w:r>
        <w:rPr>
          <w:color w:val="000000"/>
        </w:rPr>
        <w:separator/>
      </w:r>
    </w:p>
  </w:footnote>
  <w:footnote w:type="continuationSeparator" w:id="0">
    <w:p w14:paraId="25C3FDAE" w14:textId="77777777" w:rsidR="003D64AD" w:rsidRDefault="003D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B55EB"/>
    <w:multiLevelType w:val="hybridMultilevel"/>
    <w:tmpl w:val="B13E3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94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07"/>
    <w:rsid w:val="00047A3C"/>
    <w:rsid w:val="00123870"/>
    <w:rsid w:val="002B0E40"/>
    <w:rsid w:val="003D64AD"/>
    <w:rsid w:val="00450C07"/>
    <w:rsid w:val="004A1F15"/>
    <w:rsid w:val="0052126A"/>
    <w:rsid w:val="00685887"/>
    <w:rsid w:val="007348E3"/>
    <w:rsid w:val="00925C6D"/>
    <w:rsid w:val="009C513C"/>
    <w:rsid w:val="009E257E"/>
    <w:rsid w:val="00A44CCE"/>
    <w:rsid w:val="00D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FC4BB"/>
  <w15:docId w15:val="{83D27ED5-0EF5-4571-8FE1-4629F1A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bCs w:val="0"/>
      <w:i w:val="0"/>
      <w:iCs w:val="0"/>
      <w:strike w:val="0"/>
      <w:dstrike w:val="0"/>
      <w:outline w:val="0"/>
      <w:color w:val="000000"/>
      <w:sz w:val="20"/>
      <w:szCs w:val="20"/>
      <w:u w:val="none"/>
      <w:lang w:val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4A1F15"/>
    <w:pPr>
      <w:widowControl/>
      <w:autoSpaceDN/>
      <w:textAlignment w:val="auto"/>
    </w:pPr>
    <w:rPr>
      <w:rFonts w:ascii="Arial" w:eastAsia="Arial" w:hAnsi="Arial"/>
      <w:kern w:val="0"/>
      <w:sz w:val="22"/>
      <w:szCs w:val="22"/>
      <w:lang w:val="en-GB" w:eastAsia="sk-SK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ivacidad@andaluciatrad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ndaluciatrad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Palanco Fernández de Soria, Antonio</dc:creator>
  <cp:lastModifiedBy>Palanco Fernández de Soria, Antonio</cp:lastModifiedBy>
  <cp:revision>2</cp:revision>
  <dcterms:created xsi:type="dcterms:W3CDTF">2024-11-06T16:03:00Z</dcterms:created>
  <dcterms:modified xsi:type="dcterms:W3CDTF">2024-11-06T16:03:00Z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